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72950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672950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22871,28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167860,15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1397341,74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672950" w:rsidP="00C023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984881,69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310291,07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102168,98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1359256,38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1349356,38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-239158,15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-38085,36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-216286,87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672950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205945,51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67295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1598414,53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910870">
        <w:trPr>
          <w:trHeight w:val="1285"/>
        </w:trPr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</w:t>
            </w:r>
            <w:r w:rsidR="00910870">
              <w:rPr>
                <w:rFonts w:ascii="Times New Roman" w:hAnsi="Times New Roman" w:cs="Times New Roman"/>
                <w:sz w:val="18"/>
                <w:szCs w:val="18"/>
              </w:rPr>
              <w:t xml:space="preserve">г.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с 01.07.2021</w:t>
            </w:r>
            <w:r w:rsidR="007902A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7902A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3.    4,35                   3.  4,61</w:t>
            </w:r>
          </w:p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7902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7902A7" w:rsidRDefault="0067295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7902A7" w:rsidRDefault="00910870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  </w:t>
            </w:r>
            <w:r w:rsidR="00672950">
              <w:rPr>
                <w:rFonts w:ascii="Times New Roman" w:hAnsi="Times New Roman" w:cs="Times New Roman"/>
                <w:sz w:val="18"/>
                <w:szCs w:val="18"/>
              </w:rPr>
              <w:t xml:space="preserve"> 1,44</w:t>
            </w:r>
            <w:r w:rsidR="007902A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7902A7" w:rsidRPr="006729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950"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004624" w:rsidRPr="006071D6" w:rsidRDefault="007902A7" w:rsidP="007902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="00672950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295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7.  5,07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046A">
              <w:rPr>
                <w:rFonts w:ascii="Times New Roman" w:hAnsi="Times New Roman" w:cs="Times New Roman"/>
                <w:sz w:val="18"/>
                <w:szCs w:val="18"/>
              </w:rPr>
              <w:t>52391,74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046A">
              <w:rPr>
                <w:rFonts w:ascii="Times New Roman" w:hAnsi="Times New Roman" w:cs="Times New Roman"/>
                <w:sz w:val="18"/>
                <w:szCs w:val="18"/>
              </w:rPr>
              <w:t>448675,21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046A">
              <w:rPr>
                <w:rFonts w:ascii="Times New Roman" w:hAnsi="Times New Roman" w:cs="Times New Roman"/>
                <w:sz w:val="18"/>
                <w:szCs w:val="18"/>
              </w:rPr>
              <w:t>86936,59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363E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363EEE" w:rsidRDefault="00363E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r w:rsidRPr="00363E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046A">
              <w:rPr>
                <w:rFonts w:ascii="Times New Roman" w:hAnsi="Times New Roman" w:cs="Times New Roman"/>
                <w:sz w:val="18"/>
                <w:szCs w:val="18"/>
              </w:rPr>
              <w:t>3638,16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363E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3EEE">
              <w:rPr>
                <w:rFonts w:ascii="Times New Roman" w:hAnsi="Times New Roman" w:cs="Times New Roman"/>
                <w:sz w:val="18"/>
                <w:szCs w:val="18"/>
              </w:rPr>
              <w:t>505513,96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046A">
              <w:rPr>
                <w:rFonts w:ascii="Times New Roman" w:hAnsi="Times New Roman" w:cs="Times New Roman"/>
                <w:sz w:val="18"/>
                <w:szCs w:val="18"/>
              </w:rPr>
              <w:t>483220,06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22293,90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8B50C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8B50C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363E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363EE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4A046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B564E"/>
    <w:rsid w:val="002B6BCF"/>
    <w:rsid w:val="002C3201"/>
    <w:rsid w:val="002F62EC"/>
    <w:rsid w:val="00363EEE"/>
    <w:rsid w:val="0039081E"/>
    <w:rsid w:val="00393430"/>
    <w:rsid w:val="00394250"/>
    <w:rsid w:val="003A1D2A"/>
    <w:rsid w:val="003D4D31"/>
    <w:rsid w:val="00481053"/>
    <w:rsid w:val="004A046A"/>
    <w:rsid w:val="004E7832"/>
    <w:rsid w:val="00564C50"/>
    <w:rsid w:val="005C16D2"/>
    <w:rsid w:val="005C2428"/>
    <w:rsid w:val="005E266B"/>
    <w:rsid w:val="005F18E7"/>
    <w:rsid w:val="006071D6"/>
    <w:rsid w:val="00625507"/>
    <w:rsid w:val="00645F03"/>
    <w:rsid w:val="0065054F"/>
    <w:rsid w:val="00664172"/>
    <w:rsid w:val="00672950"/>
    <w:rsid w:val="006C0962"/>
    <w:rsid w:val="006D4D3A"/>
    <w:rsid w:val="006E38FF"/>
    <w:rsid w:val="00717184"/>
    <w:rsid w:val="007209DF"/>
    <w:rsid w:val="00724C0B"/>
    <w:rsid w:val="007902A7"/>
    <w:rsid w:val="007F651E"/>
    <w:rsid w:val="0081087A"/>
    <w:rsid w:val="00813CF9"/>
    <w:rsid w:val="00827731"/>
    <w:rsid w:val="0083647D"/>
    <w:rsid w:val="008613EB"/>
    <w:rsid w:val="0088214D"/>
    <w:rsid w:val="008B50C7"/>
    <w:rsid w:val="008B7D84"/>
    <w:rsid w:val="008F5045"/>
    <w:rsid w:val="00910870"/>
    <w:rsid w:val="009422E1"/>
    <w:rsid w:val="009B78F5"/>
    <w:rsid w:val="009C1CCB"/>
    <w:rsid w:val="00A3416A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0236F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65EBD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00D4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C4F1-4EBB-4B5B-8EF0-FB1302D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2022-03-23T13:04:00Z</dcterms:created>
  <dcterms:modified xsi:type="dcterms:W3CDTF">2022-03-25T07:04:00Z</dcterms:modified>
</cp:coreProperties>
</file>